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B8DA7C" w14:textId="7DB2F52E" w:rsidR="007A7CAD" w:rsidRPr="007A7CAD" w:rsidRDefault="007A7CAD" w:rsidP="007A7CAD">
      <w:pPr>
        <w:rPr>
          <w:color w:val="FF0000"/>
          <w:sz w:val="24"/>
          <w:szCs w:val="24"/>
          <w:rtl/>
        </w:rPr>
      </w:pPr>
      <w:r w:rsidRPr="007A7CAD">
        <w:rPr>
          <w:rFonts w:hint="cs"/>
          <w:color w:val="FF0000"/>
          <w:sz w:val="24"/>
          <w:szCs w:val="24"/>
          <w:rtl/>
        </w:rPr>
        <w:t xml:space="preserve">נושא הדף: </w:t>
      </w:r>
      <w:r w:rsidRPr="007A7CAD">
        <w:rPr>
          <w:rFonts w:ascii="Arial" w:hAnsi="Arial" w:cs="Arial"/>
          <w:color w:val="FF0000"/>
          <w:shd w:val="clear" w:color="auto" w:fill="FFFFFF"/>
          <w:rtl/>
        </w:rPr>
        <w:t xml:space="preserve">הלכות שבת - פניני הלכה פרק </w:t>
      </w:r>
      <w:proofErr w:type="spellStart"/>
      <w:r w:rsidRPr="007A7CAD">
        <w:rPr>
          <w:rFonts w:ascii="Arial" w:hAnsi="Arial" w:cs="Arial"/>
          <w:color w:val="FF0000"/>
          <w:shd w:val="clear" w:color="auto" w:fill="FFFFFF"/>
          <w:rtl/>
        </w:rPr>
        <w:t>כב</w:t>
      </w:r>
      <w:proofErr w:type="spellEnd"/>
      <w:r w:rsidRPr="007A7CAD">
        <w:rPr>
          <w:rFonts w:ascii="Arial" w:hAnsi="Arial" w:cs="Arial"/>
          <w:color w:val="FF0000"/>
          <w:shd w:val="clear" w:color="auto" w:fill="FFFFFF"/>
          <w:rtl/>
        </w:rPr>
        <w:t xml:space="preserve">, א - המצווה לשמור על צביון השבת כיום </w:t>
      </w:r>
      <w:proofErr w:type="spellStart"/>
      <w:r w:rsidRPr="007A7CAD">
        <w:rPr>
          <w:rFonts w:ascii="Arial" w:hAnsi="Arial" w:cs="Arial"/>
          <w:color w:val="FF0000"/>
          <w:shd w:val="clear" w:color="auto" w:fill="FFFFFF"/>
          <w:rtl/>
        </w:rPr>
        <w:t>מנוחה</w:t>
      </w:r>
      <w:r w:rsidRPr="007A7CAD">
        <w:rPr>
          <w:rFonts w:hint="cs"/>
          <w:color w:val="FF0000"/>
          <w:sz w:val="24"/>
          <w:szCs w:val="24"/>
          <w:rtl/>
        </w:rPr>
        <w:t>מחבר</w:t>
      </w:r>
      <w:proofErr w:type="spellEnd"/>
      <w:r w:rsidRPr="007A7CAD">
        <w:rPr>
          <w:rFonts w:hint="cs"/>
          <w:color w:val="FF0000"/>
          <w:sz w:val="24"/>
          <w:szCs w:val="24"/>
          <w:rtl/>
        </w:rPr>
        <w:t>: ראובן גורביץ</w:t>
      </w:r>
    </w:p>
    <w:p w14:paraId="485BD583" w14:textId="7D3F6411" w:rsidR="007A7CAD" w:rsidRPr="007A7CAD" w:rsidRDefault="007A7CAD" w:rsidP="00EA26D2">
      <w:pPr>
        <w:rPr>
          <w:color w:val="FF0000"/>
          <w:sz w:val="24"/>
          <w:szCs w:val="24"/>
          <w:rtl/>
        </w:rPr>
      </w:pPr>
      <w:r w:rsidRPr="007A7CAD">
        <w:rPr>
          <w:rFonts w:hint="cs"/>
          <w:color w:val="FF0000"/>
          <w:sz w:val="24"/>
          <w:szCs w:val="24"/>
          <w:rtl/>
        </w:rPr>
        <w:t>כיתות היעד:</w:t>
      </w:r>
      <w:r w:rsidRPr="007A7CAD">
        <w:rPr>
          <w:rFonts w:hint="cs"/>
          <w:color w:val="FF0000"/>
          <w:sz w:val="24"/>
          <w:szCs w:val="24"/>
        </w:rPr>
        <w:t xml:space="preserve"> </w:t>
      </w:r>
      <w:r w:rsidRPr="007A7CAD">
        <w:rPr>
          <w:rFonts w:hint="cs"/>
          <w:color w:val="FF0000"/>
          <w:sz w:val="24"/>
          <w:szCs w:val="24"/>
          <w:rtl/>
        </w:rPr>
        <w:t xml:space="preserve"> חט"ב</w:t>
      </w:r>
    </w:p>
    <w:p w14:paraId="4E64E6B2" w14:textId="77777777" w:rsidR="007A7CAD" w:rsidRDefault="007A7CAD" w:rsidP="00EA26D2">
      <w:pPr>
        <w:rPr>
          <w:sz w:val="24"/>
          <w:szCs w:val="24"/>
          <w:rtl/>
        </w:rPr>
      </w:pPr>
    </w:p>
    <w:p w14:paraId="29E0DDA0" w14:textId="061AD4DD" w:rsidR="00EA26D2" w:rsidRPr="0063503F" w:rsidRDefault="00EA26D2" w:rsidP="00EA26D2">
      <w:pPr>
        <w:rPr>
          <w:sz w:val="24"/>
          <w:szCs w:val="24"/>
          <w:rtl/>
        </w:rPr>
      </w:pPr>
      <w:r w:rsidRPr="0063503F">
        <w:rPr>
          <w:rFonts w:hint="cs"/>
          <w:sz w:val="24"/>
          <w:szCs w:val="24"/>
          <w:rtl/>
        </w:rPr>
        <w:t>בס"ד</w:t>
      </w:r>
    </w:p>
    <w:p w14:paraId="3B63B5A6" w14:textId="5012462D" w:rsidR="00EA26D2" w:rsidRPr="00EA26D2" w:rsidRDefault="00EA26D2" w:rsidP="00EA26D2">
      <w:pPr>
        <w:jc w:val="center"/>
        <w:rPr>
          <w:rFonts w:cs="Guttman Mantova-Decor"/>
          <w:rtl/>
        </w:rPr>
      </w:pPr>
      <w:bookmarkStart w:id="0" w:name="_GoBack"/>
      <w:r w:rsidRPr="00EA26D2">
        <w:rPr>
          <w:rFonts w:cs="Guttman Mantova-Decor" w:hint="cs"/>
          <w:rtl/>
        </w:rPr>
        <w:t>המצווה לשמור על צביון השבת כיום מנוחה (כ"ב, א)</w:t>
      </w:r>
    </w:p>
    <w:bookmarkEnd w:id="0"/>
    <w:p w14:paraId="707E48F6" w14:textId="77777777" w:rsidR="00EA26D2" w:rsidRPr="00EA26D2" w:rsidRDefault="00EA26D2" w:rsidP="00EA26D2">
      <w:pPr>
        <w:rPr>
          <w:sz w:val="14"/>
          <w:szCs w:val="14"/>
          <w:rtl/>
        </w:rPr>
      </w:pPr>
    </w:p>
    <w:p w14:paraId="662F45D2" w14:textId="1D75B766" w:rsidR="00EA26D2" w:rsidRPr="004A4F10" w:rsidRDefault="00EA26D2" w:rsidP="0063503F">
      <w:pPr>
        <w:spacing w:line="276" w:lineRule="auto"/>
        <w:jc w:val="both"/>
        <w:rPr>
          <w:sz w:val="26"/>
          <w:szCs w:val="26"/>
        </w:rPr>
      </w:pPr>
      <w:r w:rsidRPr="004A4F10">
        <w:rPr>
          <w:sz w:val="26"/>
          <w:szCs w:val="26"/>
          <w:rtl/>
        </w:rPr>
        <w:t xml:space="preserve">נצטווינו בתורה שלא לעשות מלאכה ביום השבת, שנאמר (שמות כ, י): “וְיוֹם הַשְּׁבִיעִי שַׁבָּת לַה’ אֱלוֹהֶיךָ לֹא תַעֲשֶׂה כָל מְלָאכָה”, אלו ל”ט המלאכות שעל ידן הקימו את המשכן, כפי שנתבאר למשה בסיני. והוסיפו חכמים והתקינו סייגים לתורה, כדי שלא יעשה אדם דבר שמתוכו יגיע לעבור על אחת המלאכות שאסרה התורה. עוד נצטווינו לשבות ביום השבת, שנאמר (שמות </w:t>
      </w:r>
      <w:proofErr w:type="spellStart"/>
      <w:r w:rsidRPr="004A4F10">
        <w:rPr>
          <w:sz w:val="26"/>
          <w:szCs w:val="26"/>
          <w:rtl/>
        </w:rPr>
        <w:t>כג</w:t>
      </w:r>
      <w:proofErr w:type="spellEnd"/>
      <w:r w:rsidRPr="004A4F10">
        <w:rPr>
          <w:sz w:val="26"/>
          <w:szCs w:val="26"/>
          <w:rtl/>
        </w:rPr>
        <w:t xml:space="preserve">, </w:t>
      </w:r>
      <w:proofErr w:type="spellStart"/>
      <w:r w:rsidRPr="004A4F10">
        <w:rPr>
          <w:sz w:val="26"/>
          <w:szCs w:val="26"/>
          <w:rtl/>
        </w:rPr>
        <w:t>יב</w:t>
      </w:r>
      <w:proofErr w:type="spellEnd"/>
      <w:r w:rsidRPr="004A4F10">
        <w:rPr>
          <w:sz w:val="26"/>
          <w:szCs w:val="26"/>
          <w:rtl/>
        </w:rPr>
        <w:t xml:space="preserve">): “שֵׁשֶׁת יָמִים תַּעֲשֶׂה מַעֲשֶׂיךָ וּבַיּוֹם הַשְּׁבִיעִי </w:t>
      </w:r>
      <w:proofErr w:type="spellStart"/>
      <w:r w:rsidRPr="004A4F10">
        <w:rPr>
          <w:sz w:val="26"/>
          <w:szCs w:val="26"/>
          <w:rtl/>
        </w:rPr>
        <w:t>תִּשְׁבֹּת</w:t>
      </w:r>
      <w:proofErr w:type="spellEnd"/>
      <w:r w:rsidRPr="004A4F10">
        <w:rPr>
          <w:sz w:val="26"/>
          <w:szCs w:val="26"/>
          <w:rtl/>
        </w:rPr>
        <w:t>”. והכוונה, שבנוסף לכך שלא נעשה מלאכה גמורה בשבת, מצווה מהתורה שנשבות וננוח מטורח ועמל, שלא יפתח אדם חנות, ולא יעסוק בהובלת משאות בתוך רשות היחיד לקראת מלאכת ימי החול. ואף שהעושה כן אינו עובר על אחת מל”ט המלאכות, הוא מבטל את מצוות התורה לשבות ולנוח בשבת</w:t>
      </w:r>
      <w:r w:rsidRPr="004A4F10">
        <w:rPr>
          <w:sz w:val="26"/>
          <w:szCs w:val="26"/>
        </w:rPr>
        <w:t>.</w:t>
      </w:r>
    </w:p>
    <w:p w14:paraId="3E96690C" w14:textId="77777777" w:rsidR="00EA26D2" w:rsidRPr="004A4F10" w:rsidRDefault="00EA26D2" w:rsidP="0063503F">
      <w:pPr>
        <w:spacing w:line="276" w:lineRule="auto"/>
        <w:jc w:val="both"/>
        <w:rPr>
          <w:sz w:val="26"/>
          <w:szCs w:val="26"/>
        </w:rPr>
      </w:pPr>
      <w:r w:rsidRPr="004A4F10">
        <w:rPr>
          <w:sz w:val="26"/>
          <w:szCs w:val="26"/>
          <w:rtl/>
        </w:rPr>
        <w:t xml:space="preserve">כהמשך לכך למדנו בנביא שצריך לשמור על צביונו של יום השבת כיום מכובד ומקודש, יום שאין עוסקים בו בדברי חול, והעושה כן זוכה לשכר גדול. שנאמר (ישעיהו נח, </w:t>
      </w:r>
      <w:proofErr w:type="spellStart"/>
      <w:r w:rsidRPr="004A4F10">
        <w:rPr>
          <w:sz w:val="26"/>
          <w:szCs w:val="26"/>
          <w:rtl/>
        </w:rPr>
        <w:t>יג</w:t>
      </w:r>
      <w:proofErr w:type="spellEnd"/>
      <w:r w:rsidRPr="004A4F10">
        <w:rPr>
          <w:sz w:val="26"/>
          <w:szCs w:val="26"/>
          <w:rtl/>
        </w:rPr>
        <w:t xml:space="preserve">-יד): “אִם תָּשִׁיב מִשַּׁבָּת רַגְלֶךָ עֲשׂוֹת חֲפָצֶיךָ בְּיוֹם קָדְשִׁי, וְקָרָאתָ לַשַּׁבָּת עֹנֶג לִקְדוֹשׁ ה’ מְכֻבָּד, וְכִבַּדְתּוֹ מֵעֲשׂוֹת דְּרָכֶיךָ מִמְּצוֹא חֶפְצְךָ וְדַבֵּר דָּבָר. אָז תִּתְעַנַּג עַל ה’ וְהִרְכַּבְתִּיךָ עַל בָּמֳתֵי אָרֶץ וְהַאֲכַלְתִּיךָ נַחֲלַת יַעֲקֹב אָבִיךָ, כִּי פִּי ה’ דִּבֵּר”. למדו חכמים מדברי הנביא הדרכות רבות לשבת, ועיקרן שלא ינהג אדם בשבת כדרך שהוא נוהג ביום חול. וכך אמרו (שבת </w:t>
      </w:r>
      <w:proofErr w:type="spellStart"/>
      <w:r w:rsidRPr="004A4F10">
        <w:rPr>
          <w:sz w:val="26"/>
          <w:szCs w:val="26"/>
          <w:rtl/>
        </w:rPr>
        <w:t>קיג</w:t>
      </w:r>
      <w:proofErr w:type="spellEnd"/>
      <w:r w:rsidRPr="004A4F10">
        <w:rPr>
          <w:sz w:val="26"/>
          <w:szCs w:val="26"/>
          <w:rtl/>
        </w:rPr>
        <w:t>, א): “וְכִבַּדְתּוֹ – שלא יהא מלבושך של שבת כמלבושך של חול… מֵעֲשׂוֹת דְּרָכֶיךָ – שלא יהא הילוכך של שבת כהילוכך של חול. מִמְּצוֹא חֶפְצְךָ – חפציך אסורים, חפצי שמים מותרים. וְדַבֵּר דָּבָר – שלא יהא דבורך של שבת כדבורך של חול. דבור – אסור, הרהור – מותר”. מעמדן של הדרכות אלו גבוה מתקנות חכמים, הואיל ושורשן במצוות התורה לשבות, ויסודן נתבאר בדברי הנביאים, ומדרגתן נקראת ‘דברי קבלה</w:t>
      </w:r>
      <w:r w:rsidRPr="004A4F10">
        <w:rPr>
          <w:sz w:val="26"/>
          <w:szCs w:val="26"/>
        </w:rPr>
        <w:t>’.</w:t>
      </w:r>
    </w:p>
    <w:p w14:paraId="2B48D072" w14:textId="5C4C358E" w:rsidR="00EA26D2" w:rsidRPr="004A4F10" w:rsidRDefault="00EA26D2" w:rsidP="0063503F">
      <w:pPr>
        <w:spacing w:line="276" w:lineRule="auto"/>
        <w:jc w:val="both"/>
        <w:rPr>
          <w:sz w:val="26"/>
          <w:szCs w:val="26"/>
        </w:rPr>
      </w:pPr>
      <w:r w:rsidRPr="004A4F10">
        <w:rPr>
          <w:sz w:val="26"/>
          <w:szCs w:val="26"/>
          <w:rtl/>
        </w:rPr>
        <w:t>את המצוות הקשורות לכבוד ועונג כבר בארנו לעיל. הכבוד מתבטא בבגדי השבת, רחיצת הגוף, הכנת הבית והדלקת הנר. והעונג מתבטא בסעודות, בשינה ובלימוד התורה. בפרק זה נבאר את המצוות והסייגים שנועדו לשמור על צביון השבת כיום קדושה ומנוחה. ומצוות אלו הן היסוד לכל מה שאסרו חכמי הדורות משום ‘</w:t>
      </w:r>
      <w:proofErr w:type="spellStart"/>
      <w:r w:rsidRPr="004A4F10">
        <w:rPr>
          <w:sz w:val="26"/>
          <w:szCs w:val="26"/>
          <w:rtl/>
        </w:rPr>
        <w:t>עובדין</w:t>
      </w:r>
      <w:proofErr w:type="spellEnd"/>
      <w:r w:rsidRPr="004A4F10">
        <w:rPr>
          <w:sz w:val="26"/>
          <w:szCs w:val="26"/>
          <w:rtl/>
        </w:rPr>
        <w:t xml:space="preserve"> </w:t>
      </w:r>
      <w:proofErr w:type="spellStart"/>
      <w:r w:rsidRPr="004A4F10">
        <w:rPr>
          <w:sz w:val="26"/>
          <w:szCs w:val="26"/>
          <w:rtl/>
        </w:rPr>
        <w:t>דחול</w:t>
      </w:r>
      <w:proofErr w:type="spellEnd"/>
      <w:r w:rsidRPr="004A4F10">
        <w:rPr>
          <w:sz w:val="26"/>
          <w:szCs w:val="26"/>
          <w:rtl/>
        </w:rPr>
        <w:t xml:space="preserve">’, היינו שכל מעשה מובהק של חול אסור בשבת, ובכלל זה משחק כדור של גדולים, שחייה בבריכה, התעמלות ונסיעה באופניים. עוד תקנו חכמים כדי לשמור על צביון השבת כיום שבתון את איסור </w:t>
      </w:r>
      <w:proofErr w:type="spellStart"/>
      <w:r w:rsidRPr="004A4F10">
        <w:rPr>
          <w:sz w:val="26"/>
          <w:szCs w:val="26"/>
          <w:rtl/>
        </w:rPr>
        <w:t>ה’מוקצה</w:t>
      </w:r>
      <w:proofErr w:type="spellEnd"/>
      <w:r w:rsidRPr="004A4F10">
        <w:rPr>
          <w:sz w:val="26"/>
          <w:szCs w:val="26"/>
          <w:rtl/>
        </w:rPr>
        <w:t>’. וכן תקנו שלא לנגן בכלי זמר</w:t>
      </w:r>
      <w:r w:rsidRPr="004A4F10">
        <w:rPr>
          <w:sz w:val="26"/>
          <w:szCs w:val="26"/>
        </w:rPr>
        <w:t>.</w:t>
      </w:r>
    </w:p>
    <w:p w14:paraId="23716C26" w14:textId="50B29AFD" w:rsidR="00EA26D2" w:rsidRPr="004A4F10" w:rsidRDefault="00EA26D2" w:rsidP="0063503F">
      <w:pPr>
        <w:spacing w:line="276" w:lineRule="auto"/>
        <w:jc w:val="both"/>
        <w:rPr>
          <w:sz w:val="26"/>
          <w:szCs w:val="26"/>
          <w:rtl/>
        </w:rPr>
      </w:pPr>
      <w:r w:rsidRPr="004A4F10">
        <w:rPr>
          <w:sz w:val="26"/>
          <w:szCs w:val="26"/>
          <w:rtl/>
        </w:rPr>
        <w:t>למרות שמעמדן של המצוות לשמור על צביון השבת ושלא לעסוק בענייני חול (</w:t>
      </w:r>
      <w:proofErr w:type="spellStart"/>
      <w:r w:rsidRPr="004A4F10">
        <w:rPr>
          <w:sz w:val="26"/>
          <w:szCs w:val="26"/>
          <w:rtl/>
        </w:rPr>
        <w:t>עובדין</w:t>
      </w:r>
      <w:proofErr w:type="spellEnd"/>
      <w:r w:rsidRPr="004A4F10">
        <w:rPr>
          <w:sz w:val="26"/>
          <w:szCs w:val="26"/>
          <w:rtl/>
        </w:rPr>
        <w:t xml:space="preserve"> </w:t>
      </w:r>
      <w:proofErr w:type="spellStart"/>
      <w:r w:rsidRPr="004A4F10">
        <w:rPr>
          <w:sz w:val="26"/>
          <w:szCs w:val="26"/>
          <w:rtl/>
        </w:rPr>
        <w:t>דחול</w:t>
      </w:r>
      <w:proofErr w:type="spellEnd"/>
      <w:r w:rsidRPr="004A4F10">
        <w:rPr>
          <w:sz w:val="26"/>
          <w:szCs w:val="26"/>
          <w:rtl/>
        </w:rPr>
        <w:t>) גבוה ממעמד הסייגים שתקנו חכמים, מצד גדרי ההלכה, הסייגים שתקנו חכמים חמורים יותר. שכן הסייגים, כדוגמת האיסור לעשות מלאכה בשינוי או לומר לגוי לעשות מלאכה – אסורים גם לצורך מצווה, ואילו האיסורים שקשורים לצביון השבת – מותרים לצורך מצווה. ויש איסורים שמורכבים על שני היסודות הללו, ומצד צביון השבת היה אפשר להתיר אותם לצורך מצווה, אלא שהואיל והם אסורים גם מצד גזרת חכמים, גם לצורך מצווה אסור לעבור עליהם</w:t>
      </w:r>
      <w:r w:rsidRPr="004A4F10">
        <w:rPr>
          <w:sz w:val="26"/>
          <w:szCs w:val="26"/>
        </w:rPr>
        <w:t>.</w:t>
      </w:r>
    </w:p>
    <w:p w14:paraId="0F3A8937" w14:textId="77777777" w:rsidR="00142690" w:rsidRPr="0063503F" w:rsidRDefault="00142690" w:rsidP="00EA26D2">
      <w:pPr>
        <w:jc w:val="both"/>
        <w:rPr>
          <w:sz w:val="14"/>
          <w:szCs w:val="14"/>
          <w:rtl/>
        </w:rPr>
      </w:pPr>
    </w:p>
    <w:p w14:paraId="1A339050" w14:textId="689A091A" w:rsidR="00142690" w:rsidRPr="004A4F10" w:rsidRDefault="00142690" w:rsidP="00EA26D2">
      <w:pPr>
        <w:jc w:val="both"/>
        <w:rPr>
          <w:sz w:val="26"/>
          <w:szCs w:val="26"/>
          <w:rtl/>
        </w:rPr>
      </w:pPr>
      <w:r w:rsidRPr="004A4F10">
        <w:rPr>
          <w:rFonts w:hint="cs"/>
          <w:sz w:val="26"/>
          <w:szCs w:val="26"/>
          <w:rtl/>
        </w:rPr>
        <w:t xml:space="preserve">1. א. עיין </w:t>
      </w:r>
      <w:proofErr w:type="spellStart"/>
      <w:r w:rsidRPr="004A4F10">
        <w:rPr>
          <w:rFonts w:hint="cs"/>
          <w:sz w:val="26"/>
          <w:szCs w:val="26"/>
          <w:rtl/>
        </w:rPr>
        <w:t>בפיסקה</w:t>
      </w:r>
      <w:proofErr w:type="spellEnd"/>
      <w:r w:rsidRPr="004A4F10">
        <w:rPr>
          <w:rFonts w:hint="cs"/>
          <w:sz w:val="26"/>
          <w:szCs w:val="26"/>
          <w:rtl/>
        </w:rPr>
        <w:t xml:space="preserve"> הראשונה שבה מוזכר שיש לנו ביום השבת גם מצוות עשה וגם מצוות לא תעשה. אלו הם? ומאיזה פסוק נלמד כל אחת מהם?</w:t>
      </w:r>
    </w:p>
    <w:p w14:paraId="3E57BB83" w14:textId="7467BEBC" w:rsidR="00142690" w:rsidRPr="004A4F10" w:rsidRDefault="00142690" w:rsidP="00142690">
      <w:pPr>
        <w:ind w:right="-142"/>
        <w:jc w:val="both"/>
        <w:rPr>
          <w:sz w:val="26"/>
          <w:szCs w:val="26"/>
          <w:u w:val="single"/>
          <w:rtl/>
        </w:rPr>
      </w:pPr>
      <w:r w:rsidRPr="004A4F10">
        <w:rPr>
          <w:rFonts w:hint="cs"/>
          <w:sz w:val="26"/>
          <w:szCs w:val="26"/>
          <w:rtl/>
        </w:rPr>
        <w:t xml:space="preserve">מצוות עשה: </w:t>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p>
    <w:p w14:paraId="426FCA8C" w14:textId="549C32AE" w:rsidR="00142690" w:rsidRPr="004A4F10" w:rsidRDefault="00142690" w:rsidP="00142690">
      <w:pPr>
        <w:ind w:right="-142"/>
        <w:jc w:val="both"/>
        <w:rPr>
          <w:sz w:val="26"/>
          <w:szCs w:val="26"/>
          <w:u w:val="single"/>
          <w:rtl/>
        </w:rPr>
      </w:pPr>
      <w:r w:rsidRPr="004A4F10">
        <w:rPr>
          <w:rFonts w:hint="cs"/>
          <w:sz w:val="26"/>
          <w:szCs w:val="26"/>
          <w:rtl/>
        </w:rPr>
        <w:t xml:space="preserve">מצוות לא תעשה: </w:t>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p>
    <w:p w14:paraId="00535135" w14:textId="77777777" w:rsidR="00142690" w:rsidRPr="0063503F" w:rsidRDefault="00142690" w:rsidP="00142690">
      <w:pPr>
        <w:ind w:right="-142"/>
        <w:jc w:val="both"/>
        <w:rPr>
          <w:sz w:val="14"/>
          <w:szCs w:val="14"/>
          <w:rtl/>
        </w:rPr>
      </w:pPr>
    </w:p>
    <w:p w14:paraId="0DA6C528" w14:textId="77777777" w:rsidR="00142690" w:rsidRPr="004A4F10" w:rsidRDefault="00142690" w:rsidP="00142690">
      <w:pPr>
        <w:ind w:right="-142"/>
        <w:jc w:val="both"/>
        <w:rPr>
          <w:sz w:val="26"/>
          <w:szCs w:val="26"/>
          <w:u w:val="single"/>
          <w:rtl/>
        </w:rPr>
      </w:pPr>
      <w:r w:rsidRPr="004A4F10">
        <w:rPr>
          <w:rFonts w:hint="cs"/>
          <w:sz w:val="26"/>
          <w:szCs w:val="26"/>
          <w:rtl/>
        </w:rPr>
        <w:t xml:space="preserve">    ב. אלו סוגי תקנות תיקנו חכמים על המצוות לא תעשה? </w:t>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p>
    <w:p w14:paraId="0AE1A72D" w14:textId="77777777" w:rsidR="00142690" w:rsidRPr="0063503F" w:rsidRDefault="00142690" w:rsidP="00142690">
      <w:pPr>
        <w:ind w:right="-142"/>
        <w:jc w:val="both"/>
        <w:rPr>
          <w:sz w:val="14"/>
          <w:szCs w:val="14"/>
          <w:rtl/>
        </w:rPr>
      </w:pPr>
    </w:p>
    <w:p w14:paraId="73EE00B8" w14:textId="3C504879" w:rsidR="004A4F10" w:rsidRPr="004A4F10" w:rsidRDefault="00034EA3" w:rsidP="00142690">
      <w:pPr>
        <w:ind w:right="-142"/>
        <w:jc w:val="both"/>
        <w:rPr>
          <w:sz w:val="26"/>
          <w:szCs w:val="26"/>
          <w:rtl/>
        </w:rPr>
      </w:pPr>
      <w:r w:rsidRPr="004A4F10">
        <w:rPr>
          <w:rFonts w:hint="cs"/>
          <w:sz w:val="26"/>
          <w:szCs w:val="26"/>
          <w:rtl/>
        </w:rPr>
        <w:t xml:space="preserve">2. </w:t>
      </w:r>
      <w:r w:rsidR="004A4F10" w:rsidRPr="004A4F10">
        <w:rPr>
          <w:rFonts w:hint="cs"/>
          <w:sz w:val="26"/>
          <w:szCs w:val="26"/>
          <w:rtl/>
        </w:rPr>
        <w:t xml:space="preserve">א. </w:t>
      </w:r>
      <w:proofErr w:type="spellStart"/>
      <w:r w:rsidRPr="004A4F10">
        <w:rPr>
          <w:rFonts w:hint="cs"/>
          <w:sz w:val="26"/>
          <w:szCs w:val="26"/>
          <w:rtl/>
        </w:rPr>
        <w:t>בפיסקה</w:t>
      </w:r>
      <w:proofErr w:type="spellEnd"/>
      <w:r w:rsidRPr="004A4F10">
        <w:rPr>
          <w:rFonts w:hint="cs"/>
          <w:sz w:val="26"/>
          <w:szCs w:val="26"/>
          <w:rtl/>
        </w:rPr>
        <w:t xml:space="preserve"> שניה מובא פסוקים מספר ישעיהו, אלו הדרכות </w:t>
      </w:r>
      <w:r w:rsidR="004A4F10" w:rsidRPr="004A4F10">
        <w:rPr>
          <w:rFonts w:hint="cs"/>
          <w:sz w:val="26"/>
          <w:szCs w:val="26"/>
          <w:rtl/>
        </w:rPr>
        <w:t>חכמים למדו מפסוקים אלו? (הבא 3 דוגמאות)</w:t>
      </w:r>
    </w:p>
    <w:p w14:paraId="5A887F19" w14:textId="32634623" w:rsidR="004A4F10" w:rsidRPr="004A4F10" w:rsidRDefault="004A4F10" w:rsidP="00142690">
      <w:pPr>
        <w:ind w:right="-142"/>
        <w:jc w:val="both"/>
        <w:rPr>
          <w:sz w:val="26"/>
          <w:szCs w:val="26"/>
          <w:u w:val="single"/>
          <w:rtl/>
        </w:rPr>
      </w:pPr>
      <w:r w:rsidRPr="004A4F10">
        <w:rPr>
          <w:rFonts w:hint="cs"/>
          <w:sz w:val="26"/>
          <w:szCs w:val="26"/>
          <w:rtl/>
        </w:rPr>
        <w:t xml:space="preserve">    דוגמה 1: </w:t>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p>
    <w:p w14:paraId="6D243600" w14:textId="12EF24BD" w:rsidR="004A4F10" w:rsidRPr="004A4F10" w:rsidRDefault="004A4F10" w:rsidP="00142690">
      <w:pPr>
        <w:ind w:right="-142"/>
        <w:jc w:val="both"/>
        <w:rPr>
          <w:sz w:val="26"/>
          <w:szCs w:val="26"/>
          <w:u w:val="single"/>
          <w:rtl/>
        </w:rPr>
      </w:pPr>
      <w:r w:rsidRPr="004A4F10">
        <w:rPr>
          <w:rFonts w:hint="cs"/>
          <w:sz w:val="26"/>
          <w:szCs w:val="26"/>
          <w:rtl/>
        </w:rPr>
        <w:t xml:space="preserve">    דוגמה 2: </w:t>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p>
    <w:p w14:paraId="2E52B6AD" w14:textId="676DAF7D" w:rsidR="004A4F10" w:rsidRPr="004A4F10" w:rsidRDefault="004A4F10" w:rsidP="00142690">
      <w:pPr>
        <w:ind w:right="-142"/>
        <w:jc w:val="both"/>
        <w:rPr>
          <w:sz w:val="26"/>
          <w:szCs w:val="26"/>
          <w:u w:val="single"/>
          <w:rtl/>
        </w:rPr>
      </w:pPr>
      <w:r w:rsidRPr="004A4F10">
        <w:rPr>
          <w:rFonts w:hint="cs"/>
          <w:sz w:val="26"/>
          <w:szCs w:val="26"/>
          <w:rtl/>
        </w:rPr>
        <w:t xml:space="preserve">    דוגמה 3: </w:t>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p>
    <w:p w14:paraId="7C62C3A1" w14:textId="77777777" w:rsidR="004A4F10" w:rsidRPr="0063503F" w:rsidRDefault="004A4F10" w:rsidP="00142690">
      <w:pPr>
        <w:ind w:right="-142"/>
        <w:jc w:val="both"/>
        <w:rPr>
          <w:sz w:val="14"/>
          <w:szCs w:val="14"/>
          <w:rtl/>
        </w:rPr>
      </w:pPr>
      <w:r w:rsidRPr="0063503F">
        <w:rPr>
          <w:rFonts w:hint="cs"/>
          <w:sz w:val="14"/>
          <w:szCs w:val="14"/>
          <w:rtl/>
        </w:rPr>
        <w:t xml:space="preserve">    </w:t>
      </w:r>
    </w:p>
    <w:p w14:paraId="5A73AE12" w14:textId="77777777" w:rsidR="004A4F10" w:rsidRPr="004A4F10" w:rsidRDefault="004A4F10" w:rsidP="00142690">
      <w:pPr>
        <w:ind w:right="-142"/>
        <w:jc w:val="both"/>
        <w:rPr>
          <w:sz w:val="26"/>
          <w:szCs w:val="26"/>
          <w:u w:val="single"/>
          <w:rtl/>
        </w:rPr>
      </w:pPr>
      <w:r w:rsidRPr="004A4F10">
        <w:rPr>
          <w:rFonts w:hint="cs"/>
          <w:sz w:val="26"/>
          <w:szCs w:val="26"/>
          <w:rtl/>
        </w:rPr>
        <w:t xml:space="preserve">    ב. מה המכנה המשותף לשלושת הדוגמאות שנתת? </w:t>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p>
    <w:p w14:paraId="7F2B99E1" w14:textId="77777777" w:rsidR="004A4F10" w:rsidRPr="0063503F" w:rsidRDefault="004A4F10" w:rsidP="00142690">
      <w:pPr>
        <w:ind w:right="-142"/>
        <w:jc w:val="both"/>
        <w:rPr>
          <w:sz w:val="14"/>
          <w:szCs w:val="14"/>
          <w:rtl/>
        </w:rPr>
      </w:pPr>
    </w:p>
    <w:p w14:paraId="28233CA0" w14:textId="77777777" w:rsidR="004A4F10" w:rsidRPr="004A4F10" w:rsidRDefault="004A4F10" w:rsidP="00142690">
      <w:pPr>
        <w:ind w:right="-142"/>
        <w:jc w:val="both"/>
        <w:rPr>
          <w:sz w:val="26"/>
          <w:szCs w:val="26"/>
          <w:rtl/>
        </w:rPr>
      </w:pPr>
      <w:r w:rsidRPr="004A4F10">
        <w:rPr>
          <w:rFonts w:hint="cs"/>
          <w:sz w:val="26"/>
          <w:szCs w:val="26"/>
          <w:rtl/>
        </w:rPr>
        <w:t xml:space="preserve"> 3. הסבר את המושגים:</w:t>
      </w:r>
    </w:p>
    <w:p w14:paraId="0FB32648" w14:textId="74558A4A" w:rsidR="004A4F10" w:rsidRPr="004A4F10" w:rsidRDefault="004A4F10" w:rsidP="00142690">
      <w:pPr>
        <w:ind w:right="-142"/>
        <w:jc w:val="both"/>
        <w:rPr>
          <w:sz w:val="26"/>
          <w:szCs w:val="26"/>
          <w:u w:val="single"/>
          <w:rtl/>
        </w:rPr>
      </w:pPr>
      <w:r w:rsidRPr="004A4F10">
        <w:rPr>
          <w:rFonts w:hint="cs"/>
          <w:sz w:val="26"/>
          <w:szCs w:val="26"/>
          <w:rtl/>
        </w:rPr>
        <w:t xml:space="preserve">    א. דברי קבלה: </w:t>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p>
    <w:p w14:paraId="69126E8C" w14:textId="640B9323" w:rsidR="004A4F10" w:rsidRPr="004A4F10" w:rsidRDefault="004A4F10" w:rsidP="00142690">
      <w:pPr>
        <w:ind w:right="-142"/>
        <w:jc w:val="both"/>
        <w:rPr>
          <w:sz w:val="26"/>
          <w:szCs w:val="26"/>
          <w:u w:val="single"/>
          <w:rtl/>
        </w:rPr>
      </w:pPr>
      <w:r w:rsidRPr="004A4F10">
        <w:rPr>
          <w:rFonts w:hint="cs"/>
          <w:sz w:val="26"/>
          <w:szCs w:val="26"/>
          <w:rtl/>
        </w:rPr>
        <w:t xml:space="preserve">    ב. </w:t>
      </w:r>
      <w:proofErr w:type="spellStart"/>
      <w:r w:rsidRPr="004A4F10">
        <w:rPr>
          <w:rFonts w:hint="cs"/>
          <w:sz w:val="26"/>
          <w:szCs w:val="26"/>
          <w:rtl/>
        </w:rPr>
        <w:t>עובדין</w:t>
      </w:r>
      <w:proofErr w:type="spellEnd"/>
      <w:r w:rsidRPr="004A4F10">
        <w:rPr>
          <w:rFonts w:hint="cs"/>
          <w:sz w:val="26"/>
          <w:szCs w:val="26"/>
          <w:rtl/>
        </w:rPr>
        <w:t xml:space="preserve"> </w:t>
      </w:r>
      <w:proofErr w:type="spellStart"/>
      <w:r w:rsidRPr="004A4F10">
        <w:rPr>
          <w:rFonts w:hint="cs"/>
          <w:sz w:val="26"/>
          <w:szCs w:val="26"/>
          <w:rtl/>
        </w:rPr>
        <w:t>דחול</w:t>
      </w:r>
      <w:proofErr w:type="spellEnd"/>
      <w:r w:rsidRPr="004A4F10">
        <w:rPr>
          <w:rFonts w:hint="cs"/>
          <w:sz w:val="26"/>
          <w:szCs w:val="26"/>
          <w:rtl/>
        </w:rPr>
        <w:t xml:space="preserve">: </w:t>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p>
    <w:p w14:paraId="2BEAEECE" w14:textId="77777777" w:rsidR="004A4F10" w:rsidRPr="0063503F" w:rsidRDefault="004A4F10" w:rsidP="00142690">
      <w:pPr>
        <w:ind w:right="-142"/>
        <w:jc w:val="both"/>
        <w:rPr>
          <w:sz w:val="14"/>
          <w:szCs w:val="14"/>
          <w:rtl/>
        </w:rPr>
      </w:pPr>
    </w:p>
    <w:p w14:paraId="27DF3F0D" w14:textId="58CE3ADE" w:rsidR="00142690" w:rsidRPr="004A4F10" w:rsidRDefault="004A4F10" w:rsidP="0063503F">
      <w:pPr>
        <w:ind w:right="-142"/>
        <w:jc w:val="both"/>
        <w:rPr>
          <w:sz w:val="26"/>
          <w:szCs w:val="26"/>
          <w:rtl/>
        </w:rPr>
      </w:pPr>
      <w:r w:rsidRPr="004A4F10">
        <w:rPr>
          <w:rFonts w:hint="cs"/>
          <w:sz w:val="26"/>
          <w:szCs w:val="26"/>
          <w:rtl/>
        </w:rPr>
        <w:lastRenderedPageBreak/>
        <w:t xml:space="preserve">4. א. מי יש לו מעמד גבוה יותר דברי קבלה או תקנות חכמים? הסבר מדוע? </w:t>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0063503F">
        <w:rPr>
          <w:sz w:val="26"/>
          <w:szCs w:val="26"/>
          <w:u w:val="single"/>
          <w:rtl/>
        </w:rPr>
        <w:tab/>
      </w:r>
      <w:r w:rsidR="0063503F">
        <w:rPr>
          <w:sz w:val="26"/>
          <w:szCs w:val="26"/>
          <w:rtl/>
        </w:rPr>
        <w:tab/>
      </w:r>
      <w:r w:rsidR="00142690" w:rsidRPr="004A4F10">
        <w:rPr>
          <w:sz w:val="26"/>
          <w:szCs w:val="26"/>
          <w:rtl/>
        </w:rPr>
        <w:tab/>
      </w:r>
      <w:r w:rsidR="00142690" w:rsidRPr="004A4F10">
        <w:rPr>
          <w:rFonts w:hint="cs"/>
          <w:sz w:val="26"/>
          <w:szCs w:val="26"/>
          <w:rtl/>
        </w:rPr>
        <w:t xml:space="preserve"> </w:t>
      </w:r>
      <w:r w:rsidR="00142690" w:rsidRPr="004A4F10">
        <w:rPr>
          <w:sz w:val="26"/>
          <w:szCs w:val="26"/>
          <w:rtl/>
        </w:rPr>
        <w:tab/>
      </w:r>
      <w:r w:rsidR="00142690" w:rsidRPr="004A4F10">
        <w:rPr>
          <w:sz w:val="26"/>
          <w:szCs w:val="26"/>
          <w:rtl/>
        </w:rPr>
        <w:tab/>
      </w:r>
      <w:r w:rsidR="00142690" w:rsidRPr="004A4F10">
        <w:rPr>
          <w:rFonts w:hint="cs"/>
          <w:sz w:val="26"/>
          <w:szCs w:val="26"/>
          <w:rtl/>
        </w:rPr>
        <w:t xml:space="preserve">   </w:t>
      </w:r>
    </w:p>
    <w:p w14:paraId="656CF38C" w14:textId="39F58A4B" w:rsidR="00175B02" w:rsidRPr="00EA26D2" w:rsidRDefault="004A4F10" w:rsidP="00853AAD">
      <w:pPr>
        <w:ind w:right="-142"/>
        <w:jc w:val="both"/>
      </w:pPr>
      <w:r w:rsidRPr="004A4F10">
        <w:rPr>
          <w:rFonts w:hint="cs"/>
          <w:sz w:val="26"/>
          <w:szCs w:val="26"/>
          <w:rtl/>
        </w:rPr>
        <w:t xml:space="preserve">    ב. למרות מה שכתבת בסעיף א, להלכה תקנות חכמים חמורים מדברי קבלה, כיצד זה מתבטא? </w:t>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Pr="004A4F10">
        <w:rPr>
          <w:sz w:val="26"/>
          <w:szCs w:val="26"/>
          <w:u w:val="single"/>
          <w:rtl/>
        </w:rPr>
        <w:tab/>
      </w:r>
      <w:r w:rsidR="0063503F">
        <w:rPr>
          <w:sz w:val="26"/>
          <w:szCs w:val="26"/>
          <w:u w:val="single"/>
          <w:rtl/>
        </w:rPr>
        <w:tab/>
      </w:r>
    </w:p>
    <w:sectPr w:rsidR="00175B02" w:rsidRPr="00EA26D2" w:rsidSect="00973956">
      <w:pgSz w:w="11906" w:h="16838"/>
      <w:pgMar w:top="567" w:right="567" w:bottom="567" w:left="567"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uttman Mantova-Decor">
    <w:panose1 w:val="02010401010101010101"/>
    <w:charset w:val="B1"/>
    <w:family w:val="auto"/>
    <w:pitch w:val="variable"/>
    <w:sig w:usb0="00000801" w:usb1="40000000" w:usb2="00000000" w:usb3="00000000" w:csb0="0000002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6D2"/>
    <w:rsid w:val="00034EA3"/>
    <w:rsid w:val="00142690"/>
    <w:rsid w:val="00175B02"/>
    <w:rsid w:val="004A4F10"/>
    <w:rsid w:val="0063470A"/>
    <w:rsid w:val="0063503F"/>
    <w:rsid w:val="007A7CAD"/>
    <w:rsid w:val="00853AAD"/>
    <w:rsid w:val="00932138"/>
    <w:rsid w:val="00973956"/>
    <w:rsid w:val="009B1797"/>
    <w:rsid w:val="00AB2CBD"/>
    <w:rsid w:val="00B6432B"/>
    <w:rsid w:val="00C820E7"/>
    <w:rsid w:val="00D07F55"/>
    <w:rsid w:val="00D53F21"/>
    <w:rsid w:val="00DC5107"/>
    <w:rsid w:val="00EA26D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AB40C"/>
  <w15:chartTrackingRefBased/>
  <w15:docId w15:val="{BF551887-623D-4C80-9006-5A54D6827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David"/>
        <w:kern w:val="2"/>
        <w:sz w:val="28"/>
        <w:szCs w:val="28"/>
        <w:lang w:val="en-US" w:eastAsia="en-US" w:bidi="he-IL"/>
        <w14:ligatures w14:val="standardContextual"/>
      </w:rPr>
    </w:rPrDefault>
    <w:pPrDefault>
      <w:pPr>
        <w:bidi/>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2CBD"/>
  </w:style>
  <w:style w:type="paragraph" w:styleId="1">
    <w:name w:val="heading 1"/>
    <w:basedOn w:val="a"/>
    <w:next w:val="a"/>
    <w:link w:val="10"/>
    <w:uiPriority w:val="9"/>
    <w:qFormat/>
    <w:rsid w:val="00EA26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A26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A26D2"/>
    <w:pPr>
      <w:keepNext/>
      <w:keepLines/>
      <w:spacing w:before="160" w:after="80"/>
      <w:outlineLvl w:val="2"/>
    </w:pPr>
    <w:rPr>
      <w:rFonts w:eastAsiaTheme="majorEastAsia" w:cstheme="majorBidi"/>
      <w:color w:val="2F5496" w:themeColor="accent1" w:themeShade="BF"/>
    </w:rPr>
  </w:style>
  <w:style w:type="paragraph" w:styleId="4">
    <w:name w:val="heading 4"/>
    <w:basedOn w:val="a"/>
    <w:next w:val="a"/>
    <w:link w:val="40"/>
    <w:uiPriority w:val="9"/>
    <w:semiHidden/>
    <w:unhideWhenUsed/>
    <w:qFormat/>
    <w:rsid w:val="00EA26D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EA26D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EA26D2"/>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A26D2"/>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A26D2"/>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A26D2"/>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EA26D2"/>
    <w:rPr>
      <w:rFonts w:asciiTheme="majorHAnsi" w:eastAsiaTheme="majorEastAsia" w:hAnsiTheme="majorHAnsi" w:cstheme="majorBidi"/>
      <w:color w:val="2F5496" w:themeColor="accent1" w:themeShade="BF"/>
      <w:sz w:val="40"/>
      <w:szCs w:val="40"/>
    </w:rPr>
  </w:style>
  <w:style w:type="character" w:customStyle="1" w:styleId="20">
    <w:name w:val="כותרת 2 תו"/>
    <w:basedOn w:val="a0"/>
    <w:link w:val="2"/>
    <w:uiPriority w:val="9"/>
    <w:semiHidden/>
    <w:rsid w:val="00EA26D2"/>
    <w:rPr>
      <w:rFonts w:asciiTheme="majorHAnsi" w:eastAsiaTheme="majorEastAsia" w:hAnsiTheme="majorHAnsi" w:cstheme="majorBidi"/>
      <w:color w:val="2F5496" w:themeColor="accent1" w:themeShade="BF"/>
      <w:sz w:val="32"/>
      <w:szCs w:val="32"/>
    </w:rPr>
  </w:style>
  <w:style w:type="character" w:customStyle="1" w:styleId="30">
    <w:name w:val="כותרת 3 תו"/>
    <w:basedOn w:val="a0"/>
    <w:link w:val="3"/>
    <w:uiPriority w:val="9"/>
    <w:semiHidden/>
    <w:rsid w:val="00EA26D2"/>
    <w:rPr>
      <w:rFonts w:eastAsiaTheme="majorEastAsia" w:cstheme="majorBidi"/>
      <w:color w:val="2F5496" w:themeColor="accent1" w:themeShade="BF"/>
    </w:rPr>
  </w:style>
  <w:style w:type="character" w:customStyle="1" w:styleId="40">
    <w:name w:val="כותרת 4 תו"/>
    <w:basedOn w:val="a0"/>
    <w:link w:val="4"/>
    <w:uiPriority w:val="9"/>
    <w:semiHidden/>
    <w:rsid w:val="00EA26D2"/>
    <w:rPr>
      <w:rFonts w:eastAsiaTheme="majorEastAsia" w:cstheme="majorBidi"/>
      <w:i/>
      <w:iCs/>
      <w:color w:val="2F5496" w:themeColor="accent1" w:themeShade="BF"/>
    </w:rPr>
  </w:style>
  <w:style w:type="character" w:customStyle="1" w:styleId="50">
    <w:name w:val="כותרת 5 תו"/>
    <w:basedOn w:val="a0"/>
    <w:link w:val="5"/>
    <w:uiPriority w:val="9"/>
    <w:semiHidden/>
    <w:rsid w:val="00EA26D2"/>
    <w:rPr>
      <w:rFonts w:eastAsiaTheme="majorEastAsia" w:cstheme="majorBidi"/>
      <w:color w:val="2F5496" w:themeColor="accent1" w:themeShade="BF"/>
    </w:rPr>
  </w:style>
  <w:style w:type="character" w:customStyle="1" w:styleId="60">
    <w:name w:val="כותרת 6 תו"/>
    <w:basedOn w:val="a0"/>
    <w:link w:val="6"/>
    <w:uiPriority w:val="9"/>
    <w:semiHidden/>
    <w:rsid w:val="00EA26D2"/>
    <w:rPr>
      <w:rFonts w:eastAsiaTheme="majorEastAsia" w:cstheme="majorBidi"/>
      <w:i/>
      <w:iCs/>
      <w:color w:val="595959" w:themeColor="text1" w:themeTint="A6"/>
    </w:rPr>
  </w:style>
  <w:style w:type="character" w:customStyle="1" w:styleId="70">
    <w:name w:val="כותרת 7 תו"/>
    <w:basedOn w:val="a0"/>
    <w:link w:val="7"/>
    <w:uiPriority w:val="9"/>
    <w:semiHidden/>
    <w:rsid w:val="00EA26D2"/>
    <w:rPr>
      <w:rFonts w:eastAsiaTheme="majorEastAsia" w:cstheme="majorBidi"/>
      <w:color w:val="595959" w:themeColor="text1" w:themeTint="A6"/>
    </w:rPr>
  </w:style>
  <w:style w:type="character" w:customStyle="1" w:styleId="80">
    <w:name w:val="כותרת 8 תו"/>
    <w:basedOn w:val="a0"/>
    <w:link w:val="8"/>
    <w:uiPriority w:val="9"/>
    <w:semiHidden/>
    <w:rsid w:val="00EA26D2"/>
    <w:rPr>
      <w:rFonts w:eastAsiaTheme="majorEastAsia" w:cstheme="majorBidi"/>
      <w:i/>
      <w:iCs/>
      <w:color w:val="272727" w:themeColor="text1" w:themeTint="D8"/>
    </w:rPr>
  </w:style>
  <w:style w:type="character" w:customStyle="1" w:styleId="90">
    <w:name w:val="כותרת 9 תו"/>
    <w:basedOn w:val="a0"/>
    <w:link w:val="9"/>
    <w:uiPriority w:val="9"/>
    <w:semiHidden/>
    <w:rsid w:val="00EA26D2"/>
    <w:rPr>
      <w:rFonts w:eastAsiaTheme="majorEastAsia" w:cstheme="majorBidi"/>
      <w:color w:val="272727" w:themeColor="text1" w:themeTint="D8"/>
    </w:rPr>
  </w:style>
  <w:style w:type="paragraph" w:styleId="a3">
    <w:name w:val="Title"/>
    <w:basedOn w:val="a"/>
    <w:next w:val="a"/>
    <w:link w:val="a4"/>
    <w:uiPriority w:val="10"/>
    <w:qFormat/>
    <w:rsid w:val="00EA26D2"/>
    <w:pPr>
      <w:spacing w:after="80"/>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EA26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26D2"/>
    <w:pPr>
      <w:numPr>
        <w:ilvl w:val="1"/>
      </w:numPr>
      <w:spacing w:after="160"/>
    </w:pPr>
    <w:rPr>
      <w:rFonts w:eastAsiaTheme="majorEastAsia" w:cstheme="majorBidi"/>
      <w:color w:val="595959" w:themeColor="text1" w:themeTint="A6"/>
      <w:spacing w:val="15"/>
    </w:rPr>
  </w:style>
  <w:style w:type="character" w:customStyle="1" w:styleId="a6">
    <w:name w:val="כותרת משנה תו"/>
    <w:basedOn w:val="a0"/>
    <w:link w:val="a5"/>
    <w:uiPriority w:val="11"/>
    <w:rsid w:val="00EA26D2"/>
    <w:rPr>
      <w:rFonts w:eastAsiaTheme="majorEastAsia" w:cstheme="majorBidi"/>
      <w:color w:val="595959" w:themeColor="text1" w:themeTint="A6"/>
      <w:spacing w:val="15"/>
    </w:rPr>
  </w:style>
  <w:style w:type="paragraph" w:styleId="a7">
    <w:name w:val="Quote"/>
    <w:basedOn w:val="a"/>
    <w:next w:val="a"/>
    <w:link w:val="a8"/>
    <w:uiPriority w:val="29"/>
    <w:qFormat/>
    <w:rsid w:val="00EA26D2"/>
    <w:pPr>
      <w:spacing w:before="160" w:after="160"/>
      <w:jc w:val="center"/>
    </w:pPr>
    <w:rPr>
      <w:i/>
      <w:iCs/>
      <w:color w:val="404040" w:themeColor="text1" w:themeTint="BF"/>
    </w:rPr>
  </w:style>
  <w:style w:type="character" w:customStyle="1" w:styleId="a8">
    <w:name w:val="ציטוט תו"/>
    <w:basedOn w:val="a0"/>
    <w:link w:val="a7"/>
    <w:uiPriority w:val="29"/>
    <w:rsid w:val="00EA26D2"/>
    <w:rPr>
      <w:i/>
      <w:iCs/>
      <w:color w:val="404040" w:themeColor="text1" w:themeTint="BF"/>
    </w:rPr>
  </w:style>
  <w:style w:type="paragraph" w:styleId="a9">
    <w:name w:val="List Paragraph"/>
    <w:basedOn w:val="a"/>
    <w:uiPriority w:val="34"/>
    <w:qFormat/>
    <w:rsid w:val="00EA26D2"/>
    <w:pPr>
      <w:ind w:left="720"/>
      <w:contextualSpacing/>
    </w:pPr>
  </w:style>
  <w:style w:type="character" w:styleId="aa">
    <w:name w:val="Intense Emphasis"/>
    <w:basedOn w:val="a0"/>
    <w:uiPriority w:val="21"/>
    <w:qFormat/>
    <w:rsid w:val="00EA26D2"/>
    <w:rPr>
      <w:i/>
      <w:iCs/>
      <w:color w:val="2F5496" w:themeColor="accent1" w:themeShade="BF"/>
    </w:rPr>
  </w:style>
  <w:style w:type="paragraph" w:styleId="ab">
    <w:name w:val="Intense Quote"/>
    <w:basedOn w:val="a"/>
    <w:next w:val="a"/>
    <w:link w:val="ac"/>
    <w:uiPriority w:val="30"/>
    <w:qFormat/>
    <w:rsid w:val="00EA26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ציטוט חזק תו"/>
    <w:basedOn w:val="a0"/>
    <w:link w:val="ab"/>
    <w:uiPriority w:val="30"/>
    <w:rsid w:val="00EA26D2"/>
    <w:rPr>
      <w:i/>
      <w:iCs/>
      <w:color w:val="2F5496" w:themeColor="accent1" w:themeShade="BF"/>
    </w:rPr>
  </w:style>
  <w:style w:type="character" w:styleId="ad">
    <w:name w:val="Intense Reference"/>
    <w:basedOn w:val="a0"/>
    <w:uiPriority w:val="32"/>
    <w:qFormat/>
    <w:rsid w:val="00EA26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0A9163-3CFD-4B09-BC25-E39A49B4D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607</Words>
  <Characters>3038</Characters>
  <Application>Microsoft Office Word</Application>
  <DocSecurity>0</DocSecurity>
  <Lines>25</Lines>
  <Paragraphs>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ראובן גורביץ</dc:creator>
  <cp:keywords/>
  <dc:description/>
  <cp:lastModifiedBy>1</cp:lastModifiedBy>
  <cp:revision>6</cp:revision>
  <cp:lastPrinted>2026-01-26T18:22:00Z</cp:lastPrinted>
  <dcterms:created xsi:type="dcterms:W3CDTF">2026-01-26T17:48:00Z</dcterms:created>
  <dcterms:modified xsi:type="dcterms:W3CDTF">2026-02-16T08:44:00Z</dcterms:modified>
</cp:coreProperties>
</file>